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F3" w:rsidRDefault="00EA52F3" w:rsidP="00BA13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018" w:rsidRDefault="000A6018" w:rsidP="000A6018">
      <w:pPr>
        <w:pStyle w:val="a6"/>
        <w:jc w:val="center"/>
      </w:pPr>
      <w:r>
        <w:t>Управление образования Сухобузимского района Красноярского края</w:t>
      </w:r>
    </w:p>
    <w:p w:rsidR="000A6018" w:rsidRDefault="000A6018" w:rsidP="000A6018">
      <w:pPr>
        <w:pStyle w:val="a6"/>
        <w:jc w:val="center"/>
      </w:pPr>
      <w:r>
        <w:t>Муниципальное казенное общеобразовательное учреждение</w:t>
      </w:r>
    </w:p>
    <w:p w:rsidR="000A6018" w:rsidRDefault="000A6018" w:rsidP="000A6018">
      <w:pPr>
        <w:spacing w:line="240" w:lineRule="atLeast"/>
        <w:jc w:val="center"/>
      </w:pPr>
      <w:r>
        <w:t>Павловская средняя школа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7"/>
      </w:tblGrid>
      <w:tr w:rsidR="000A6018" w:rsidTr="00B23A75"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0A6018" w:rsidRDefault="000A6018" w:rsidP="000A6018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РАССМОТРЕНО</w:t>
            </w:r>
          </w:p>
          <w:p w:rsidR="000A6018" w:rsidRDefault="000A6018" w:rsidP="000A6018">
            <w:pPr>
              <w:pStyle w:val="a6"/>
            </w:pPr>
            <w:r>
              <w:t xml:space="preserve">На заседании ШМС </w:t>
            </w:r>
          </w:p>
          <w:p w:rsidR="000A6018" w:rsidRDefault="000A6018" w:rsidP="000A6018">
            <w:pPr>
              <w:pStyle w:val="a6"/>
            </w:pPr>
            <w:r>
              <w:t>Заместитель директора по УР</w:t>
            </w:r>
          </w:p>
          <w:p w:rsidR="000A6018" w:rsidRDefault="000A6018" w:rsidP="000A6018">
            <w:pPr>
              <w:pStyle w:val="a6"/>
            </w:pPr>
            <w:proofErr w:type="spellStart"/>
            <w:r>
              <w:t>Семенчук</w:t>
            </w:r>
            <w:proofErr w:type="spellEnd"/>
            <w:r>
              <w:t xml:space="preserve"> ОА_________________</w:t>
            </w:r>
          </w:p>
          <w:p w:rsidR="000A6018" w:rsidRPr="00061F0E" w:rsidRDefault="000A6018" w:rsidP="000A6018">
            <w:pPr>
              <w:pStyle w:val="a6"/>
            </w:pPr>
          </w:p>
          <w:p w:rsidR="000A6018" w:rsidRDefault="000A6018" w:rsidP="000A6018">
            <w:pPr>
              <w:pStyle w:val="a6"/>
            </w:pPr>
            <w:r>
              <w:t>Протокол № 1</w:t>
            </w:r>
          </w:p>
          <w:p w:rsidR="000A6018" w:rsidRDefault="000A6018" w:rsidP="000A601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от 31 </w:t>
            </w:r>
            <w:r w:rsidR="00D40DC1">
              <w:rPr>
                <w:bCs/>
              </w:rPr>
              <w:t>августа  2023</w:t>
            </w:r>
            <w:r>
              <w:rPr>
                <w:bCs/>
              </w:rPr>
              <w:t>г.</w:t>
            </w:r>
          </w:p>
          <w:p w:rsidR="000A6018" w:rsidRDefault="000A6018" w:rsidP="000A6018">
            <w:pPr>
              <w:pStyle w:val="a6"/>
              <w:jc w:val="right"/>
            </w:pPr>
            <w:r>
              <w:t xml:space="preserve">   УТВЕРЖДАЮ</w:t>
            </w:r>
          </w:p>
          <w:p w:rsidR="000A6018" w:rsidRDefault="000A6018" w:rsidP="000A6018">
            <w:pPr>
              <w:pStyle w:val="a6"/>
              <w:jc w:val="right"/>
            </w:pPr>
            <w:r>
              <w:t>Директор школы</w:t>
            </w:r>
            <w:r>
              <w:br/>
            </w:r>
            <w:proofErr w:type="spellStart"/>
            <w:r>
              <w:t>Бурцаева</w:t>
            </w:r>
            <w:proofErr w:type="spellEnd"/>
            <w:r>
              <w:t xml:space="preserve"> Я.В.</w:t>
            </w:r>
          </w:p>
          <w:p w:rsidR="000A6018" w:rsidRDefault="00B23A75" w:rsidP="00B23A7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</w:t>
            </w:r>
            <w:r w:rsidR="000A6018">
              <w:rPr>
                <w:bCs/>
              </w:rPr>
              <w:t xml:space="preserve">Приказ №  </w:t>
            </w:r>
          </w:p>
          <w:p w:rsidR="000A6018" w:rsidRDefault="00D40DC1" w:rsidP="000A601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bCs/>
              </w:rPr>
            </w:pPr>
            <w:r>
              <w:rPr>
                <w:bCs/>
              </w:rPr>
              <w:t>от 31.08.2023</w:t>
            </w:r>
            <w:r w:rsidR="000A6018">
              <w:rPr>
                <w:bCs/>
              </w:rPr>
              <w:t>г</w:t>
            </w:r>
          </w:p>
          <w:p w:rsidR="000A6018" w:rsidRDefault="000A6018" w:rsidP="000A601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___________</w:t>
            </w:r>
          </w:p>
        </w:tc>
      </w:tr>
      <w:tr w:rsidR="000A6018" w:rsidTr="00B23A75"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018" w:rsidRDefault="000A6018" w:rsidP="000A601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  </w:t>
            </w:r>
          </w:p>
        </w:tc>
      </w:tr>
      <w:tr w:rsidR="000A6018" w:rsidTr="00B23A75"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0A6018" w:rsidRDefault="000A6018" w:rsidP="000A6018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018" w:rsidTr="00B23A75"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0A6018" w:rsidRDefault="000A6018" w:rsidP="000A601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52F3" w:rsidRDefault="00EA52F3" w:rsidP="00B23A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кружка</w:t>
      </w:r>
      <w:r w:rsidR="000A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дополнительного образо</w:t>
      </w:r>
      <w:r w:rsidR="00B23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вания</w:t>
      </w:r>
    </w:p>
    <w:p w:rsidR="00EA52F3" w:rsidRPr="00B23A75" w:rsidRDefault="00EA52F3" w:rsidP="00B23A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«Юный хими</w:t>
      </w:r>
      <w:r w:rsidR="00B23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к»   </w:t>
      </w:r>
      <w:r w:rsidR="00D4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2023- 2024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A52F3" w:rsidRDefault="00EA52F3" w:rsidP="00EA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EA52F3" w:rsidRDefault="00EA52F3" w:rsidP="00EA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Знакомство детей с веществами, химическими явлениями начинается еще в начальных классах. Каждый ребенок знаком с названиями применяемых в быту веществ, некоторыми полезными ископаемыми и даже отдельными химическими элементами.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и формально написанными учебниками по химии. С целью формирования основ химического мировоззрения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кружка для учащихся 7-8 классов «Юный химик».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Познакомить школьников с предметом химии, подготовить учащихся к изучению учебного предмета химия в 8 классе и сформировать устойчивый познавательный интерес к данному предмету;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технике.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химического кружка</w:t>
      </w:r>
    </w:p>
    <w:p w:rsidR="00EA52F3" w:rsidRDefault="00EA52F3" w:rsidP="00EA52F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:rsidR="00EA52F3" w:rsidRDefault="00EA52F3" w:rsidP="00EA52F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учебно-коммуникативные умения;</w:t>
      </w:r>
    </w:p>
    <w:p w:rsidR="00EA52F3" w:rsidRDefault="00EA52F3" w:rsidP="00EA52F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наблюдать и объяснять химические явления, происходящие в природе, быту, демонстрируемые учителем;</w:t>
      </w:r>
    </w:p>
    <w:p w:rsidR="00EA52F3" w:rsidRDefault="00EA52F3" w:rsidP="00EA52F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работать с веществами, выполнять несложные химические опыты, соблюдать правила техники безопасности;</w:t>
      </w:r>
    </w:p>
    <w:p w:rsidR="00EA52F3" w:rsidRDefault="00EA52F3" w:rsidP="00EA52F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элементы экологической культуры;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рассчитан</w:t>
      </w:r>
      <w:r w:rsidR="0076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проведения раз в неделю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Всего 68 часов, 34 занятия за учебный год.</w:t>
      </w:r>
    </w:p>
    <w:p w:rsidR="00EA52F3" w:rsidRDefault="00EA52F3" w:rsidP="00EA52F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занятий подбиралось следующим образом: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09855" cy="109855"/>
            <wp:effectExtent l="0" t="0" r="4445" b="0"/>
            <wp:docPr id="1" name="Рисунок 5" descr="https://xn--j1ahfl.xn--p1ai/data/images/u164275/t150408242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xn--j1ahfl.xn--p1ai/data/images/u164275/t1504082425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учебного содержания (использование не только химического содержания, но и введение в него элементов биологии, физики, литературы, истории и т.д.);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09855" cy="109855"/>
            <wp:effectExtent l="0" t="0" r="4445" b="0"/>
            <wp:docPr id="2" name="Рисунок 6" descr="https://xn--j1ahfl.xn--p1ai/data/images/u164275/t150408242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xn--j1ahfl.xn--p1ai/data/images/u164275/t1504082425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частая смена видов деятельности (за 30–40 мин от 3 до 5 раз);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09855" cy="109855"/>
            <wp:effectExtent l="0" t="0" r="4445" b="0"/>
            <wp:docPr id="3" name="Рисунок 7" descr="https://xn--j1ahfl.xn--p1ai/data/images/u164275/t150408242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xn--j1ahfl.xn--p1ai/data/images/u164275/t1504082425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самых разнообразных организационных форм;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09855" cy="109855"/>
            <wp:effectExtent l="0" t="0" r="4445" b="0"/>
            <wp:docPr id="4" name="Рисунок 8" descr="https://xn--j1ahfl.xn--p1ai/data/images/u164275/t150408242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xn--j1ahfl.xn--p1ai/data/images/u164275/t1504082425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 на практические виды деятельности;</w:t>
      </w:r>
    </w:p>
    <w:p w:rsidR="00EA52F3" w:rsidRDefault="00EA52F3" w:rsidP="00EA52F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опытов отобраны знакомые для школьников вещества, применяемые в быту, жизни, что позволяет выявлять и развивать способности учащихся к экспериментированию с веществами.</w:t>
      </w:r>
    </w:p>
    <w:p w:rsidR="00EA52F3" w:rsidRDefault="00EA52F3" w:rsidP="00EA52F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9855" cy="109855"/>
            <wp:effectExtent l="0" t="0" r="4445" b="0"/>
            <wp:docPr id="5" name="Рисунок 9" descr="https://xn--j1ahfl.xn--p1ai/data/images/u164275/t150408242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xn--j1ahfl.xn--p1ai/data/images/u164275/t1504082425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обязательных домашних заданий;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09855" cy="109855"/>
            <wp:effectExtent l="0" t="0" r="4445" b="0"/>
            <wp:docPr id="6" name="Рисунок 10" descr="https://xn--j1ahfl.xn--p1ai/data/images/u164275/t150408242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xn--j1ahfl.xn--p1ai/data/images/u164275/t1504082425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успеха и психологического комфорта каждому члену кружка путем развития его личностных качеств посредством эффективной и интересной для него деятельности, постоянного наблюдения за динамикой его развития и соответствующего поощрения.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Планируемые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личностные результаты освоения кружка «Юный химик»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EA52F3" w:rsidRDefault="00EA52F3" w:rsidP="00EA52F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тему и цели урока;</w:t>
      </w:r>
    </w:p>
    <w:p w:rsidR="000A6018" w:rsidRDefault="00EA52F3" w:rsidP="000A6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решения учебной проблемы совместно с учителем;</w:t>
      </w:r>
      <w:r w:rsidR="000A6018" w:rsidRPr="000A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A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="000A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52F3" w:rsidRDefault="00EA52F3" w:rsidP="00EA52F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2F3" w:rsidRDefault="00EA52F3" w:rsidP="00EA52F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по плану, сверяя свои действия с целью, корректировать свою деятельность;</w:t>
      </w:r>
    </w:p>
    <w:p w:rsidR="00EA52F3" w:rsidRDefault="00EA52F3" w:rsidP="00EA52F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Познавательные УУД:</w:t>
      </w:r>
    </w:p>
    <w:p w:rsidR="00EA52F3" w:rsidRDefault="00EA52F3" w:rsidP="00EA52F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EA52F3" w:rsidRDefault="00EA52F3" w:rsidP="00EA52F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словарями, справочниками;</w:t>
      </w:r>
    </w:p>
    <w:p w:rsidR="00EA52F3" w:rsidRDefault="00EA52F3" w:rsidP="00EA52F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анализ и синтез;</w:t>
      </w:r>
    </w:p>
    <w:p w:rsidR="00EA52F3" w:rsidRDefault="00EA52F3" w:rsidP="00EA52F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:rsidR="00EA52F3" w:rsidRDefault="00EA52F3" w:rsidP="00EA52F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рассуждения;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Коммуникативные УУД:</w:t>
      </w:r>
    </w:p>
    <w:p w:rsidR="00EA52F3" w:rsidRDefault="00EA52F3" w:rsidP="00EA52F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и обосновывать свою точку зрения;</w:t>
      </w:r>
    </w:p>
    <w:p w:rsidR="00EA52F3" w:rsidRDefault="00EA52F3" w:rsidP="00EA52F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EA52F3" w:rsidRDefault="00EA52F3" w:rsidP="00EA52F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:rsidR="00EA52F3" w:rsidRDefault="00EA52F3" w:rsidP="00EA52F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:rsidR="00EA52F3" w:rsidRDefault="00EA52F3" w:rsidP="00EA52F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вопросы.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интересов, интеллектуальных и творческих способностей учащихся;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самостоятельность в приобретении новых знаний и практических умений;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мотивация образовательной деятельности школьников на основе личностно ориентированного подхода;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2F3" w:rsidRDefault="00EA52F3" w:rsidP="00EA52F3">
      <w:pPr>
        <w:shd w:val="clear" w:color="auto" w:fill="FFFFFF"/>
        <w:tabs>
          <w:tab w:val="left" w:pos="992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Содержание программы кружка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Юный химик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. 7-8 класс»</w:t>
      </w:r>
    </w:p>
    <w:tbl>
      <w:tblPr>
        <w:tblpPr w:leftFromText="45" w:rightFromText="45" w:bottomFromText="200" w:vertAnchor="text"/>
        <w:tblW w:w="0" w:type="auto"/>
        <w:tblCellSpacing w:w="15" w:type="dxa"/>
        <w:tblLook w:val="04A0"/>
      </w:tblPr>
      <w:tblGrid>
        <w:gridCol w:w="3704"/>
        <w:gridCol w:w="992"/>
        <w:gridCol w:w="5208"/>
        <w:gridCol w:w="4884"/>
      </w:tblGrid>
      <w:tr w:rsidR="00EA52F3" w:rsidTr="00EA52F3">
        <w:trPr>
          <w:trHeight w:val="152"/>
          <w:tblCellSpacing w:w="15" w:type="dxa"/>
        </w:trPr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Изучаемые в теме вопросы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Практикум: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к/р.,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./р., диктанты, сочинения, изложения,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./р., л/.р., экскурсии.</w:t>
            </w:r>
            <w:proofErr w:type="gramEnd"/>
          </w:p>
        </w:tc>
      </w:tr>
      <w:tr w:rsidR="00EA52F3" w:rsidTr="00EA52F3">
        <w:trPr>
          <w:trHeight w:val="2067"/>
          <w:tblCellSpacing w:w="15" w:type="dxa"/>
        </w:trPr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 Введение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величество – Химия: кто она и где с ней можно встретиться? Химия – творение природы и рук человека. Химик – преданный и послушный ученик химии. Правила работы в школьной лаборатории. Лабораторная посуда и оборудование. Правила безопасности. Ее величество – Химия: кто она и где с ней можно встретиться? Химия – творение природы и рук человека. Химик – преданный и послушный ученик химии. Правила работы в школьной лаборатории. Лабораторная посуда и оборудование. Правила безопасности.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№1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Лабораторное оборудование и посуда. Изучение строения пламени</w:t>
            </w:r>
          </w:p>
        </w:tc>
      </w:tr>
      <w:tr w:rsidR="00EA52F3" w:rsidTr="00EA52F3">
        <w:trPr>
          <w:trHeight w:val="2067"/>
          <w:tblCellSpacing w:w="15" w:type="dxa"/>
        </w:trPr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2.Лаборатория юного химика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Индикаторы. Фенолфталеин. Лакмус. Метилоранж. Изменение цвета в различных средах. Растительные индикаторы.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Смеси. Однородные и неоднородные. Способы разделения. Фильтрование.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Хроматография.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кристаллических и аморфных веществах. Способы выращивания кристаллов.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и химические явления. Признаки химических реакций.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Растворы. Растворенное вещество. Растворитель. Факторы, влияющие на растворение веществ. Способы приготовления растворов. Понятие о массовой доле растворенного вещества. Этапы приготовления раствора. Правила работы с весами и мерным цилиндром.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воздуха. Кислород, его свойства и применение. Получаем кислород. Кислород – источник жизни на Земле. Кислород-невидимка. Как обнаружить кислород? Углекислый газ в воздухе, воде, продуктах питания.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Практическая работа № 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окраски индикаторов в различных средах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Практическая работа № 3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загрязненной поваренной соли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Практическая работа № 4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химической реакции – выделение газа и изменение запаха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5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химической реакции – изменение цвета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6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химической реакции – растворение и образование осадка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«Растворимые и нерастворимые вещества в воде».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8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раствора соли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9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кислорода из перекиси водорода</w:t>
            </w:r>
          </w:p>
        </w:tc>
      </w:tr>
      <w:tr w:rsidR="00EA52F3" w:rsidTr="00EA52F3">
        <w:trPr>
          <w:trHeight w:val="2067"/>
          <w:tblCellSpacing w:w="15" w:type="dxa"/>
        </w:trPr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3. Именем Менделеева, или Дом, в котором «живут» химические элементы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и деятельность Д.И. Менделеева. История открытия ПЗ.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Атом. Молекула. Химический элемент. Знаки химических элементов. ПСХЭ, периоды, группы. Относительная атомная и молекулярная массы. Массовая доля химического элемента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52F3" w:rsidTr="00EA52F3">
        <w:trPr>
          <w:trHeight w:val="821"/>
          <w:tblCellSpacing w:w="15" w:type="dxa"/>
        </w:trPr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4. Домашняя химия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компоненты пищи: жиры, белки, углеводы, витамины, соли. Химические элементы, которые образуют пищу.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Белки, значение и применение. Белки растительного и животного происхождения. Распознавание белков.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Жиры. Значение и применение жиров (не только в пище). Польза жиров в питании человека.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 = углерод + вода – не все так просто. Сахар – еще не значит «сладкий». Вкус хлеба, вермишели, картошки, леденцов. Как распознать сахар и крахмал?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Витамины, их роль в процессах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жизнедеятельности.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продуктов питания. Пищевые добавки.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препараты. Домашняя аптечка, ее содержимое. Правила использования и хранения лекарств. Качественные реакции на функциональные группы.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Бытовые химикаты, их классификация на основе применения. Правила обращения с препаратами бытовой химии.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Отравление бытовыми химикатами (раствор аммиака, уксусная кислота, перманганат калия, бытовой газ, угарный газ, инсектициды, растворители, лакокрасочные материал и т.п.)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Оказание первой помощи при отравлениях и ожогах.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химчистки. Техника выведения пятен. Пятновыводители. Удаление жировых пятен, пятен от ягод и фруктов, овощей и соков, пищевых продуктов, крови, краски и т.д.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косметических средств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Классификация косметических средств: мыло, шампунь, духи, гели, лосьоны и др.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Практическая работа № 10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«Сворачивание белка куриного яйца при нагревании», «Сворачивание белков молока при добавлении лимонной кислоты, спирта».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11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«Окрашивание спиртового раствора йода крахмалом».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12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«Обнаружение витаминов в продуктах питания»</w:t>
            </w:r>
          </w:p>
        </w:tc>
      </w:tr>
      <w:tr w:rsidR="00EA52F3" w:rsidTr="00EA52F3">
        <w:trPr>
          <w:trHeight w:val="2052"/>
          <w:tblCellSpacing w:w="15" w:type="dxa"/>
        </w:trPr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5. Увлекательная химия для экспериментаторов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Сахарная змея. Змеи из лекарств. Реакции окрашивания пламени. Техника проведения опытов.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Виртуальная практическая работа № 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"Получение фараоновых змей"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Виртуальная практическая работа № 14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"Разноцветный фейерверк"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Виртуальная практическая работа № 15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"Химические водоросли"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Виртуальная практическая работа № 16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"Изготовление химических елок и игрушек"</w:t>
            </w:r>
          </w:p>
        </w:tc>
      </w:tr>
    </w:tbl>
    <w:p w:rsidR="00EA52F3" w:rsidRPr="00EA52F3" w:rsidRDefault="00EA52F3" w:rsidP="00EA5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5.Календарно-тематическое планирование</w:t>
      </w:r>
    </w:p>
    <w:tbl>
      <w:tblPr>
        <w:tblW w:w="0" w:type="auto"/>
        <w:tblCellSpacing w:w="15" w:type="dxa"/>
        <w:tblLayout w:type="fixed"/>
        <w:tblLook w:val="04A0"/>
      </w:tblPr>
      <w:tblGrid>
        <w:gridCol w:w="777"/>
        <w:gridCol w:w="2403"/>
        <w:gridCol w:w="2298"/>
        <w:gridCol w:w="2340"/>
        <w:gridCol w:w="2355"/>
        <w:gridCol w:w="2745"/>
        <w:gridCol w:w="1134"/>
        <w:gridCol w:w="838"/>
      </w:tblGrid>
      <w:tr w:rsidR="00EA52F3" w:rsidTr="00EA52F3">
        <w:trPr>
          <w:tblCellSpacing w:w="15" w:type="dxa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 w:rsidP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Материально- техническое обеспечение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</w:t>
            </w:r>
          </w:p>
        </w:tc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 Введение (4 часа).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понятия: «химия», «вещество».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ТБ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обращаться с лабораторной посудой и оборудованием, оказывать первую медицинскую помощь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понятия о хим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роли в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человека.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наблюдать, делать выводы при проведении опытов, умения работать с книгой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систе-мой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работать в парах, отвечать на вопросы учителя, умение использовать химический язык, умение работать с химической посудой. Формирование умения слушать учителя, вести диалог с учителем и другими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учащимися.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интереса к предмету.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Химия-наука о веществах, их свойствах и превращениях.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«Химия вокруг нас», диск «Химия.8»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лабораторным оборудованием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Лабораторное оборудование и посуда. Изучение строения пламени. Лабораторное оборудование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 Лаборатория юного химика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( 24ч)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представление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ндикаторах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 различии чистого вещества и смеси, способах разделения, о кристаллических и аморфных веществах, способах выращивания кристаллов,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отличие физических явлений от химических, о растворах, способах их приготовления, о массовой доле растворенного вещества, о воздухе, свойства и области применения кислорода, понятия «ионы», «химическая связь»,</w:t>
            </w:r>
            <w:proofErr w:type="gramEnd"/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тип хим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вязи в соединении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определять характер среды с помощью индикаторов, проводить процесс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выращивания кристаллов, работать с реактивами, определять запах вещества, определять химическую реакцию, определять растворимость веществ, готовить растворы, рассчитывать массу (объем) компонентов, работать с весами, мерным цилиндром, проводить процесс растворения, получать кислород и доказывать его наличие, проводить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простейший анализ воды,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очищать воду от примесей отстаиванием или фильтрованием.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самостоятельно определять цели своего обучения,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соотнести свои действия с планируемым результатом,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 развитие химического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мышления умение применять его в познавательной, коммуникативной, социальной практике.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ответственного отношения к учению, устойчивых познавательных интересов,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целостного мировоззрения.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 индикаторах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2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«Изменение окраски индикаторов в различных средах».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Растворы кислот, щелочей, стирального порошка, пищевой соды, фенолфталеина, метилового оранжевого, лакмуса; чайная заварка.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разделения смесей.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3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«Очистка загрязненной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поваренной соли». Загрязненная поваренная соль, химические стаканы, воронка, спиртовка, выпарительная чашка, стеклянная палочка, фильтр.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кристаллах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химических реакциях.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4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«Признак химической реакции – выделение газа и изменение запаха». Карбонат натрия, мел, соляная кислота, соль аммония,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натрия, спиртовка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химической реакции – изменение цвета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5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«Признак химической реакции – изменение цвета».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Соли железа, красная и желтая кровяная соль, роданид калия, сульфат меди,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аммония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химической реакции – образование и растворение осадка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6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«Признак химической реакции – растворение и образование осадка». Сульфат меди,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натрия, йодид калия, ацетат свинца, известковая вода.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растворах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«Растворимые и нерастворимые вещества в воде». Различные вещества, вода, химические стаканы, стеклянные палочки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раствора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бъемным способом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8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«Приготовление раствора соли». Весы, разновесы, соль, вода, стаканы, воронка, мерный цилиндр, стеклянная палочка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и применение кислорода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9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«Получение кислорода из перекиси водорода». 5% раствор перекиси водорода, диоксид марганца, лучинка, спички, свеча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и применение углекислого газа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Чудесная жидкость – вода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загрязненной воды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3. . Именем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Менделеева, или Дом, в котором «живут» химические элементы (8ч)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периодический закон,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структуру Периодической системы ХЭ Д.И.Менделеева- порядковый номер ХЭ, периоды (большие и малые), группы – подгруппы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В, относительные атомная и молекулярная масса; массовая доля элемента в веществе.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Уметь: находить химические элементы в таблице Д.И. Менделеева по знакам или названиям, номерам порядковым, групп, периодов,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находить по таблице относительную атомную массу, вычислять относительную молекулярную массу, находить массовую долю химического элемента.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Учащийся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должен уметь: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проблемы, т. е. устанавливать несоответствие меж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ду желаемым и действительным;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сложный план текста;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таким видом изложения текста, как повествование; под руководством учителя проводить непосредственное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блюдение;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руководством учителя оформлять отчет, включающий описание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наблюдения, его результатов, выводов;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такой вид мысленного (идеального) моделиро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вания, как знаковое моделирование (на примере знаков химиче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элементов);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такой вид материального (предметного) моде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лирования, как физическое моделирование (на примере модели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рования атомов и молекул);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получать химическую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информацию из различных источников; определять объект и аспект анализа и синтеза; определять компоненты объекта в соответствии с аспектом анализа и синтеза;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качественное и количественное описание 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понентов объекта;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отношения объекта с другими объектами; определять существенные признаки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интереса к новому предмету, ответственного отношения к учению.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и понимание достижений в области хи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мии своей страны; общемировых достижений в области химии, 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 здорового образа жизни; правил поведения в чрезвычайных ситуациях, связанных с воздействием различных веществ.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и деятельность Д.И. Менделеева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Д.И. Менделеева, презентация, фильм, ПСХЭ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химическом элементе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ПСХЭ, загадки об элементах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Относительная атомная и молекулярная массы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использованием понятия «Массовая доля химического элемента»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4. Домашняя химия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( 22 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жиров, белков, углеводов, витаминов и правила их применения;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содержимое домашней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аптечки, правила хранения и применения лекарств; качественные реакции на лекарственные препараты;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обращения с препаратами бытовой химии; правила удаления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жировых пятен, пятен от ягод и фруктов, овощей и соков, пищевых продуктов, крови, краски.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основные компоненты пищи, определять оксиды и водородные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соединения,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оксиды,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тип оксида, проводить простейший анализ продуктов питания, оказывать первую помощь при ожогах, отравлениях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умения осознанного выбора и развития темы, подбора соответствующей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источников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различного рода; Развития умения сравнения, наблюдения, анализа полученных результатов,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последовательности и связи рассуждений, грамотном построении проекта; побуждении к дискуссии, развитие умения доказывать свою точку зрения, выделять главное, делать логичные выводы, опираясь на известные факты и теории; воспитывать умение оценивать свои действия, правила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действий на уровне ретроспективной оценки.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работать в группе; доказывать окружающим свою точку зрения, объяснять свой выбор группы, учитывать мнения других; воспитывать умение формулировать вопросы и задания, задавать их оппонентам; организовывать сотрудничество и сотворчество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членеми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и оппонентами.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ответственного отношения к учебе, готовности и способности к самообразованию, саморазвитию; формирование целостного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мировоззренческого кругозора учащихся, неразрывности явлений и процессов,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современному развитию науки; развитие коммуникативных способностей, поведенческой безопасности в научном и бытовом плане.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компоненты пищи. Белки.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10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«Сворачивание белка куриного яйца при нагревании», «Сворачивание белков молока при добавлении лимонной кислоты, спирта».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Белок куриного яйца, продукты, содержащие белки, концентрированная азотная кислота, растворы сульфата меди,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натрия, ацетата свинца, спиртовка, пробирки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компоненты пищи. Жиры и углеводы.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11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«Окрашивание спиртового раствора йода крахмалом».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Продукты, содержащие глюкозу и жиры, раствор глюкозы, сульфата меди,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натрия, нитрата серебра,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аммония, спиртовки, пробирки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компоненты пищи. Витамины.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12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«Обнаружение витаминов в продуктах питания». Яблоки, фруктовые соки, раствор перманганата калия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продуктов питания.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лекарственных препаратах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 опыты с лекарственными веществами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бытовыми химикатами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химчистки.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косметическими средствами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симпатических чернилах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акварельных красок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5. Увлекательная химия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экспериментат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ров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(10 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правила обращения с реактивами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обращаться с лабораторной посудой и оборудованием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должен уметь:</w:t>
            </w:r>
          </w:p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использовать опосредованное наблюдение.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интегрировать полученные знания в повседневную жизнь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фараоновых змей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Виртуальная практическая работа № 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"Получение фараоновых змей"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реакциями окрашивания пламени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Виртуальная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практическая работа № 14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"Разноцветный фейерверк"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Водоросли в колбе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Виртуальная практическая работа № 15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"Химические водоросли"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 игрушки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Виртуальная практическая работа № 16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"Изготовление химических игрушек"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2F3" w:rsidTr="00EA52F3">
        <w:trPr>
          <w:trHeight w:val="1288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«Ее величество Химия».  Защита проектов.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52F3" w:rsidRDefault="00EA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F3" w:rsidRDefault="00EA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учителя.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Артамонова И.Г.,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Сагайдачная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практические работы с исследованием лекарственных препаратов и средств бытовой химии.// Химия в школе.- 2002.-№ 9. с. 73-80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Баженова О.Ю. Пресс-конференция "Неорганические соединения в нашей жизни"// Химия в школе.-2005.-№ 3.-с. 67-74.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Химия. 9 класс. - М.: Дрофа, 2000-2003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О.С., Лысова Г.Г. Химия. 11 класс.- М.: Дрофа, 20001-2003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Практикум-обобщение по курсу органической химии.// Химия в школе.-1999.- № 3.- с. 58-64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Гроссе Э.,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Вайсмантель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 Химия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Л.: Химия, 1985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Запольских Г.Ю. Элективный курс "Химия в быту".// Химия в школе. -2005.-№ 5.- с. 25-26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Северюхина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Старые опыты с новым содержанием. // Химия в школе.-1999.- № 3.- с. 64-70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 Факультативный курс "Химия и пища".// Химия в школе.-2005.- № 5.- с. 28-29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Яковишин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химические опыты с лекарственными веществами. // Химия в школе.-2004.-№ 9.-С. 61-65.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учащихся.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для детей. Химия.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+, 2003.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издание. Виртуальная химическая лаборатория.</w:t>
      </w:r>
    </w:p>
    <w:p w:rsidR="00EA52F3" w:rsidRDefault="00EA52F3" w:rsidP="00EA5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«Химия. 8—9». Урок 15.Приложение.</w:t>
      </w:r>
    </w:p>
    <w:p w:rsidR="00037113" w:rsidRDefault="00037113"/>
    <w:sectPr w:rsidR="00037113" w:rsidSect="00EA5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2770"/>
    <w:multiLevelType w:val="hybridMultilevel"/>
    <w:tmpl w:val="6C06A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446B1"/>
    <w:multiLevelType w:val="hybridMultilevel"/>
    <w:tmpl w:val="60A0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900C0"/>
    <w:multiLevelType w:val="hybridMultilevel"/>
    <w:tmpl w:val="F7FA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F4F6E"/>
    <w:multiLevelType w:val="hybridMultilevel"/>
    <w:tmpl w:val="06C40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928B0"/>
    <w:multiLevelType w:val="hybridMultilevel"/>
    <w:tmpl w:val="3A9A9B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2F3"/>
    <w:rsid w:val="00037113"/>
    <w:rsid w:val="000A6018"/>
    <w:rsid w:val="003A1D73"/>
    <w:rsid w:val="007628EC"/>
    <w:rsid w:val="0094727A"/>
    <w:rsid w:val="00A2493C"/>
    <w:rsid w:val="00B23A75"/>
    <w:rsid w:val="00BA137A"/>
    <w:rsid w:val="00BB3306"/>
    <w:rsid w:val="00CD0A69"/>
    <w:rsid w:val="00D31BD1"/>
    <w:rsid w:val="00D40DC1"/>
    <w:rsid w:val="00EA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A6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2023-09-13T02:02:00Z</dcterms:created>
  <dcterms:modified xsi:type="dcterms:W3CDTF">2023-09-13T02:02:00Z</dcterms:modified>
</cp:coreProperties>
</file>